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D5" w:rsidRPr="00BA2B9E" w:rsidRDefault="00E76BD5" w:rsidP="00E76BD5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виконання </w:t>
      </w:r>
    </w:p>
    <w:p w:rsidR="00E76BD5" w:rsidRPr="00BA2B9E" w:rsidRDefault="00E02CEF" w:rsidP="00E76BD5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Міська цільова програма розвитку туризму в місті Києві на 2016-2018 роки </w:t>
      </w:r>
      <w:r w:rsidR="0090629C">
        <w:rPr>
          <w:rFonts w:ascii="Times New Roman" w:hAnsi="Times New Roman" w:cs="Times New Roman"/>
          <w:sz w:val="28"/>
          <w:szCs w:val="28"/>
          <w:lang w:val="uk-UA"/>
        </w:rPr>
        <w:t>за 9 місяців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 2016 року.</w:t>
      </w:r>
    </w:p>
    <w:p w:rsidR="00E76BD5" w:rsidRPr="00BA2B9E" w:rsidRDefault="00E76BD5" w:rsidP="00E76B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>Туристична галузь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 є одним з пріоритетних напрямів соціально-економічного розвитку столиці, визначених Стратегією розвитку м. Києва до 2025 року, та має величезний потенціал для свого зростання.</w:t>
      </w:r>
    </w:p>
    <w:p w:rsidR="00E76BD5" w:rsidRPr="00BA2B9E" w:rsidRDefault="00E76BD5" w:rsidP="00E76B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Для поетапної реалізації довгострокових проектів, визначених Стратегією, була розроблена та </w:t>
      </w:r>
      <w:r w:rsidR="00E02CEF" w:rsidRPr="00BA2B9E">
        <w:rPr>
          <w:rFonts w:ascii="Times New Roman" w:hAnsi="Times New Roman" w:cs="Times New Roman"/>
          <w:sz w:val="28"/>
          <w:szCs w:val="28"/>
          <w:lang w:val="uk-UA"/>
        </w:rPr>
        <w:t>затверджена рішенням Київської міської ради від 11.02.2016 № 91/91 Міська цільова програма розвитку туризму в місті Києві на 2016-2018 роки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2CEF" w:rsidRPr="00BA2B9E" w:rsidRDefault="00E02CEF" w:rsidP="00E02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>Основною метою в Міській цільовій програмі визначено:</w:t>
      </w:r>
    </w:p>
    <w:p w:rsidR="00E02CEF" w:rsidRPr="00BA2B9E" w:rsidRDefault="00E02CEF" w:rsidP="00E02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- просування міста Києва, як туристичного центру, проведення іміджевій політики – це участь в найпопулярніших міжнародних туристичних виставках; просування м. Києва за кордоном на зарубіжних телеканалах та в друкованих виданнях; організація </w:t>
      </w:r>
      <w:proofErr w:type="spellStart"/>
      <w:r w:rsidRPr="00BA2B9E">
        <w:rPr>
          <w:rFonts w:ascii="Times New Roman" w:hAnsi="Times New Roman" w:cs="Times New Roman"/>
          <w:sz w:val="28"/>
          <w:szCs w:val="28"/>
          <w:lang w:val="uk-UA"/>
        </w:rPr>
        <w:t>промо</w:t>
      </w:r>
      <w:proofErr w:type="spellEnd"/>
      <w:r w:rsidRPr="00BA2B9E">
        <w:rPr>
          <w:rFonts w:ascii="Times New Roman" w:hAnsi="Times New Roman" w:cs="Times New Roman"/>
          <w:sz w:val="28"/>
          <w:szCs w:val="28"/>
          <w:lang w:val="uk-UA"/>
        </w:rPr>
        <w:t>- та прес-турів; проведення щорічних «</w:t>
      </w:r>
      <w:proofErr w:type="spellStart"/>
      <w:r w:rsidRPr="00BA2B9E"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 w:rsidRPr="00BA2B9E">
        <w:rPr>
          <w:rFonts w:ascii="Times New Roman" w:hAnsi="Times New Roman" w:cs="Times New Roman"/>
          <w:sz w:val="28"/>
          <w:szCs w:val="28"/>
          <w:lang w:val="uk-UA"/>
        </w:rPr>
        <w:t>-заходів» - фестивалів, виставок, ярмарок, тощо</w:t>
      </w:r>
    </w:p>
    <w:p w:rsidR="00E02CEF" w:rsidRPr="00BA2B9E" w:rsidRDefault="00E02CEF" w:rsidP="00194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>- розвиток ділового, спортивно-оздоровчого, молодіжного  туризму;</w:t>
      </w:r>
    </w:p>
    <w:p w:rsidR="00E02CEF" w:rsidRPr="00BA2B9E" w:rsidRDefault="00E02CEF" w:rsidP="001942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>- вдосконалення туристичної інфраструктури (розробка план-схеми рекреаційних та пішохідних зон, туристичних маршрутів; схеми мережі мотелів та кемпінгів; створення місць паркування стоянок і зупинок туристично-екскурсійного транспорту тощо).</w:t>
      </w:r>
    </w:p>
    <w:p w:rsidR="00E02CEF" w:rsidRPr="00BA2B9E" w:rsidRDefault="00E02CEF" w:rsidP="00E02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>І, як наслідок, збільшення кількості туристів.</w:t>
      </w:r>
    </w:p>
    <w:p w:rsidR="00D618B2" w:rsidRPr="00BA2B9E" w:rsidRDefault="00D618B2" w:rsidP="00D618B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нової Програми, із відповідним фінансуванням, дозволить забезпечити просування міста Києва як провідного туристичного центру Східної Європи, створити в столиці сучасну туристичну інфраструктуру на рівні європейських стандартів, дасть можливість збільшити кількість в’їзних туристів (як іноземних, так і внутрішніх), і, як наслідок, збільшити доходи міста від туризму. </w:t>
      </w:r>
    </w:p>
    <w:p w:rsidR="00E76BD5" w:rsidRPr="00BA2B9E" w:rsidRDefault="00E76BD5" w:rsidP="00E76BD5">
      <w:pPr>
        <w:spacing w:before="120"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>Загальний</w:t>
      </w:r>
      <w:r w:rsidRPr="00BA2B9E">
        <w:rPr>
          <w:rFonts w:ascii="Times New Roman" w:hAnsi="Times New Roman"/>
          <w:b/>
          <w:sz w:val="28"/>
          <w:szCs w:val="28"/>
          <w:lang w:val="uk-UA"/>
        </w:rPr>
        <w:t xml:space="preserve"> обсяг фінансових ресурсів, </w:t>
      </w:r>
      <w:r w:rsidR="00E02CEF" w:rsidRPr="00BA2B9E">
        <w:rPr>
          <w:rFonts w:ascii="Times New Roman" w:hAnsi="Times New Roman"/>
          <w:b/>
          <w:sz w:val="28"/>
          <w:szCs w:val="28"/>
          <w:lang w:val="uk-UA"/>
        </w:rPr>
        <w:t>запланований</w:t>
      </w:r>
      <w:r w:rsidRPr="00BA2B9E">
        <w:rPr>
          <w:rFonts w:ascii="Times New Roman" w:hAnsi="Times New Roman"/>
          <w:b/>
          <w:sz w:val="28"/>
          <w:szCs w:val="28"/>
          <w:lang w:val="uk-UA"/>
        </w:rPr>
        <w:t xml:space="preserve"> для реалізації Програми, станов</w:t>
      </w:r>
      <w:r w:rsidR="00E02CEF" w:rsidRPr="00BA2B9E">
        <w:rPr>
          <w:rFonts w:ascii="Times New Roman" w:hAnsi="Times New Roman"/>
          <w:b/>
          <w:sz w:val="28"/>
          <w:szCs w:val="28"/>
          <w:lang w:val="uk-UA"/>
        </w:rPr>
        <w:t>ить</w:t>
      </w:r>
      <w:r w:rsidRPr="00BA2B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2CEF" w:rsidRPr="00BA2B9E">
        <w:rPr>
          <w:rFonts w:ascii="Times New Roman" w:hAnsi="Times New Roman"/>
          <w:b/>
          <w:sz w:val="28"/>
          <w:szCs w:val="28"/>
          <w:lang w:val="uk-UA"/>
        </w:rPr>
        <w:t xml:space="preserve">151,73 </w:t>
      </w:r>
      <w:r w:rsidRPr="00BA2B9E">
        <w:rPr>
          <w:rFonts w:ascii="Times New Roman" w:hAnsi="Times New Roman"/>
          <w:b/>
          <w:sz w:val="28"/>
          <w:szCs w:val="28"/>
          <w:lang w:val="uk-UA"/>
        </w:rPr>
        <w:t>мл</w:t>
      </w:r>
      <w:r w:rsidR="00E02CEF" w:rsidRPr="00BA2B9E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BA2B9E">
        <w:rPr>
          <w:rFonts w:ascii="Times New Roman" w:hAnsi="Times New Roman"/>
          <w:b/>
          <w:sz w:val="28"/>
          <w:szCs w:val="28"/>
          <w:lang w:val="uk-UA"/>
        </w:rPr>
        <w:t>. грн.</w:t>
      </w:r>
    </w:p>
    <w:p w:rsidR="00E76BD5" w:rsidRPr="00BA2B9E" w:rsidRDefault="00E76BD5" w:rsidP="00E76BD5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t>з них:</w:t>
      </w:r>
    </w:p>
    <w:p w:rsidR="00E76BD5" w:rsidRPr="00BA2B9E" w:rsidRDefault="00E76BD5" w:rsidP="00E76B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міський бюджет</w:t>
      </w: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E02CEF" w:rsidRPr="00BA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49,73 </w:t>
      </w: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млн. грн. 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2CEF"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32,78 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>% від загальної суми);</w:t>
      </w:r>
    </w:p>
    <w:p w:rsidR="00E76BD5" w:rsidRPr="00BA2B9E" w:rsidRDefault="00E76BD5" w:rsidP="00E76B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u w:val="single"/>
          <w:lang w:val="uk-UA"/>
        </w:rPr>
        <w:t>інші джерела</w:t>
      </w: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E02CEF" w:rsidRPr="00BA2B9E">
        <w:rPr>
          <w:rFonts w:ascii="Times New Roman" w:hAnsi="Times New Roman" w:cs="Times New Roman"/>
          <w:b/>
          <w:sz w:val="28"/>
          <w:szCs w:val="28"/>
          <w:lang w:val="uk-UA"/>
        </w:rPr>
        <w:t>102,0</w:t>
      </w:r>
      <w:r w:rsidR="00F60EFD" w:rsidRPr="00BA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>мл</w:t>
      </w:r>
      <w:r w:rsidR="00E02CEF" w:rsidRPr="00BA2B9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BA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грн. 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1443"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67,22 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B1443"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суми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2CEF" w:rsidRPr="00BA2B9E" w:rsidRDefault="00E02CEF" w:rsidP="00E76BD5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E76BD5" w:rsidRPr="00BA2B9E" w:rsidRDefault="00E76BD5" w:rsidP="00E76BD5">
      <w:pPr>
        <w:spacing w:after="0" w:line="288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A2B9E">
        <w:rPr>
          <w:rFonts w:ascii="Times New Roman" w:hAnsi="Times New Roman" w:cs="Times New Roman"/>
          <w:i/>
          <w:sz w:val="26"/>
          <w:szCs w:val="26"/>
          <w:lang w:val="uk-UA"/>
        </w:rPr>
        <w:t>Довідково</w:t>
      </w:r>
      <w:r w:rsidR="00CB6175" w:rsidRPr="00BA2B9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tbl>
      <w:tblPr>
        <w:tblStyle w:val="a3"/>
        <w:tblW w:w="10477" w:type="dxa"/>
        <w:jc w:val="center"/>
        <w:tblLook w:val="04A0" w:firstRow="1" w:lastRow="0" w:firstColumn="1" w:lastColumn="0" w:noHBand="0" w:noVBand="1"/>
      </w:tblPr>
      <w:tblGrid>
        <w:gridCol w:w="1228"/>
        <w:gridCol w:w="2886"/>
        <w:gridCol w:w="2118"/>
        <w:gridCol w:w="1701"/>
        <w:gridCol w:w="2544"/>
      </w:tblGrid>
      <w:tr w:rsidR="00E76BD5" w:rsidRPr="00BA2B9E" w:rsidTr="000D5002">
        <w:trPr>
          <w:jc w:val="center"/>
        </w:trPr>
        <w:tc>
          <w:tcPr>
            <w:tcW w:w="1228" w:type="dxa"/>
          </w:tcPr>
          <w:p w:rsidR="00E76BD5" w:rsidRPr="00BA2B9E" w:rsidRDefault="00E76BD5" w:rsidP="000D500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2886" w:type="dxa"/>
          </w:tcPr>
          <w:p w:rsidR="00E76BD5" w:rsidRPr="00BA2B9E" w:rsidRDefault="00E76BD5" w:rsidP="00CB617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заплановано з міського бюджету в Програмі</w:t>
            </w:r>
            <w:r w:rsidR="00CB6175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,</w:t>
            </w:r>
            <w:r w:rsidR="00CB6175" w:rsidRPr="00BA2B9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CB6175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млн. грн.</w:t>
            </w:r>
          </w:p>
        </w:tc>
        <w:tc>
          <w:tcPr>
            <w:tcW w:w="2118" w:type="dxa"/>
          </w:tcPr>
          <w:p w:rsidR="00E76BD5" w:rsidRPr="00BA2B9E" w:rsidRDefault="00E76BD5" w:rsidP="00E014C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передбачено в бюджеті</w:t>
            </w:r>
            <w:r w:rsidR="00E02CEF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E014C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у</w:t>
            </w:r>
            <w:r w:rsidR="00E02CEF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E014C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І-</w:t>
            </w:r>
            <w:r w:rsidR="009B1AD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</w:t>
            </w:r>
            <w:r w:rsidR="00D91416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</w:t>
            </w:r>
            <w:r w:rsidR="00E02CEF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 квартал</w:t>
            </w:r>
            <w:r w:rsidR="00E014C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</w:t>
            </w:r>
            <w:r w:rsidR="00E02CEF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2016 року</w:t>
            </w:r>
            <w:r w:rsidR="00CB6175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, млн. грн.</w:t>
            </w:r>
          </w:p>
        </w:tc>
        <w:tc>
          <w:tcPr>
            <w:tcW w:w="1701" w:type="dxa"/>
          </w:tcPr>
          <w:p w:rsidR="00E76BD5" w:rsidRPr="00BA2B9E" w:rsidRDefault="00E76BD5" w:rsidP="000D500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% від потреби</w:t>
            </w:r>
          </w:p>
        </w:tc>
        <w:tc>
          <w:tcPr>
            <w:tcW w:w="2544" w:type="dxa"/>
          </w:tcPr>
          <w:p w:rsidR="00E76BD5" w:rsidRPr="00BA2B9E" w:rsidRDefault="00CB6175" w:rsidP="000D500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</w:t>
            </w:r>
            <w:r w:rsidR="00E76BD5"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рофінансовано</w:t>
            </w:r>
            <w:r w:rsidRPr="00BA2B9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, млн. грн.</w:t>
            </w:r>
          </w:p>
        </w:tc>
      </w:tr>
      <w:tr w:rsidR="00E76BD5" w:rsidRPr="00BA2B9E" w:rsidTr="000D5002">
        <w:trPr>
          <w:jc w:val="center"/>
        </w:trPr>
        <w:tc>
          <w:tcPr>
            <w:tcW w:w="1228" w:type="dxa"/>
          </w:tcPr>
          <w:p w:rsidR="00E76BD5" w:rsidRPr="00BA2B9E" w:rsidRDefault="00E76BD5" w:rsidP="00E02CEF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A2B9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201</w:t>
            </w:r>
            <w:r w:rsidR="00E02CEF" w:rsidRPr="00BA2B9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2886" w:type="dxa"/>
          </w:tcPr>
          <w:p w:rsidR="00E76BD5" w:rsidRPr="00BA2B9E" w:rsidRDefault="00E02CEF" w:rsidP="00CB617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A2B9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18,6 </w:t>
            </w:r>
          </w:p>
        </w:tc>
        <w:tc>
          <w:tcPr>
            <w:tcW w:w="2118" w:type="dxa"/>
          </w:tcPr>
          <w:p w:rsidR="00E76BD5" w:rsidRPr="00BA2B9E" w:rsidRDefault="00EF5A71" w:rsidP="00CB617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18,6</w:t>
            </w:r>
            <w:r w:rsidR="00E02CEF" w:rsidRPr="00BA2B9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76BD5" w:rsidRPr="00BA2B9E" w:rsidRDefault="00EF5A71" w:rsidP="000D500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100</w:t>
            </w:r>
          </w:p>
        </w:tc>
        <w:tc>
          <w:tcPr>
            <w:tcW w:w="2544" w:type="dxa"/>
          </w:tcPr>
          <w:p w:rsidR="00E76BD5" w:rsidRPr="00BA2B9E" w:rsidRDefault="00EF5A71" w:rsidP="000D500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0,904</w:t>
            </w:r>
          </w:p>
        </w:tc>
      </w:tr>
    </w:tbl>
    <w:p w:rsidR="00715D1A" w:rsidRPr="00BA2B9E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створення позитивного іміджу м. Києва як туристичної столиці європейського рівня, популяризації його туристичного потенціалу та розвитку інфраструктури і, як наслідок, збільшення туристичних потоків до міста Департаментом економіки та </w:t>
      </w:r>
      <w:r w:rsidR="00BA2B9E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</w:t>
      </w:r>
      <w:r w:rsidR="00542271">
        <w:rPr>
          <w:rFonts w:ascii="Times New Roman" w:hAnsi="Times New Roman" w:cs="Times New Roman"/>
          <w:sz w:val="28"/>
          <w:szCs w:val="28"/>
          <w:lang w:val="uk-UA"/>
        </w:rPr>
        <w:t>за 9 місяців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 2016 року здійснен</w:t>
      </w:r>
      <w:r w:rsidR="00CD2D13" w:rsidRPr="00BA2B9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заходи:</w:t>
      </w:r>
    </w:p>
    <w:p w:rsidR="00715D1A" w:rsidRPr="009B1ADF" w:rsidRDefault="0002538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5D1A" w:rsidRPr="00BA2B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5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опрацьовується 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питання щодо встановлення ТІЦ на Центральному залізничному вокзалі. О</w:t>
      </w:r>
      <w:r w:rsidR="00715D1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дночасно пров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одились</w:t>
      </w:r>
      <w:r w:rsidR="00715D1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перемовини щодо вставлення вказаних центрів 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715D1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міжнародних аеропортах «Київ» та «Бориспіль». </w:t>
      </w:r>
    </w:p>
    <w:p w:rsidR="00715D1A" w:rsidRPr="009B1ADF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27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проведено підготовчі роботи щодо облаштування місць паркування. Визначені 35 пріоритетних місць для облаштування згідно погоджених Схем організації дорожнього руху на розміщення стоянок туристично-екскурсійного транспорту. Підготовлені відповідні документи для проведення електронних </w:t>
      </w:r>
      <w:proofErr w:type="spellStart"/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</w:t>
      </w:r>
      <w:proofErr w:type="spellEnd"/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(технічні вимоги, специфікацію та проект договору). Проводиться процедура передачі Схем організації дорожнього руху   КП «ТІЦ»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15D1A" w:rsidRPr="009B1ADF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27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спільно з КП 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КМ ТІЦ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проведено інвентаризацію вказівників до об'єктів екскурсійного показу та туристичних інформаційних стендів (пілонів), складені відповідні акти. Наразі проводиться робота щодо подальшого оновлення існуючих та встановлення нових вказівників та пілонів;</w:t>
      </w:r>
    </w:p>
    <w:p w:rsidR="00715D1A" w:rsidRPr="009B1ADF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227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 метою організації проведення соціологічних досліджень у </w:t>
      </w:r>
      <w:r w:rsidR="00EE3BB4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2016 році проведено робочу зустріч з представниками Київського національного торг</w:t>
      </w:r>
      <w:r w:rsidR="00EE3BB4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вельно-економічного університету, Київського національного університету ім. Т.Г. Шевченка, Київського університету туризму, економіки та права та ін., розроблені відповідні анкети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Розроблено технічні вимоги. Розпочата запланована процедура електронних </w:t>
      </w:r>
      <w:proofErr w:type="spellStart"/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закупівель</w:t>
      </w:r>
      <w:proofErr w:type="spellEnd"/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відкриті торги).Проведення соціологічних досліджень туристичних потоків до м. Києва планується у жовтні-грудні 2016 року.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15D1A" w:rsidRPr="00542271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4227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014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54227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</w:t>
      </w:r>
      <w:r w:rsidR="00CD2D13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писано 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</w:t>
      </w:r>
      <w:r w:rsidR="00CD2D13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співпрацю з такими інституціями: Київський національний торговельно-економічний університет, Київський національний університет імені Тараса Шевченка, громадська організація «Бігова Україна»;</w:t>
      </w:r>
    </w:p>
    <w:p w:rsidR="00286EC2" w:rsidRPr="0081581D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27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- з метою промоції </w:t>
      </w:r>
      <w:r w:rsidR="001434A8" w:rsidRPr="0081581D">
        <w:rPr>
          <w:rFonts w:ascii="Times New Roman" w:hAnsi="Times New Roman" w:cs="Times New Roman"/>
          <w:sz w:val="28"/>
          <w:szCs w:val="28"/>
          <w:lang w:val="uk-UA"/>
        </w:rPr>
        <w:t>столиці України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8DE"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серед світової спільноти </w:t>
      </w:r>
      <w:r w:rsidR="00286EC2" w:rsidRPr="0081581D">
        <w:rPr>
          <w:rFonts w:ascii="Times New Roman" w:hAnsi="Times New Roman" w:cs="Times New Roman"/>
          <w:sz w:val="28"/>
          <w:szCs w:val="28"/>
          <w:lang w:val="uk-UA"/>
        </w:rPr>
        <w:t>організовано</w:t>
      </w:r>
      <w:r w:rsidR="001F58DE"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4A8" w:rsidRPr="0081581D">
        <w:rPr>
          <w:rFonts w:ascii="Times New Roman" w:hAnsi="Times New Roman" w:cs="Times New Roman"/>
          <w:sz w:val="28"/>
          <w:szCs w:val="28"/>
          <w:lang w:val="uk-UA"/>
        </w:rPr>
        <w:t>рекламно-інформаційні тури для представників туристичної галузі та ЗМІ до м. Києва</w:t>
      </w:r>
      <w:r w:rsidR="00286EC2" w:rsidRPr="0081581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D1A" w:rsidRPr="0081581D" w:rsidRDefault="00D2734E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1. для представників влади, провідних </w:t>
      </w:r>
      <w:r w:rsidR="00286EC2" w:rsidRPr="0081581D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 та туристичних операторів Грузії 15-16 </w:t>
      </w:r>
      <w:r w:rsidR="00935A71"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2016р.;</w:t>
      </w:r>
    </w:p>
    <w:p w:rsidR="00D2734E" w:rsidRPr="0081581D" w:rsidRDefault="00D2734E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2. для представників провідних </w:t>
      </w:r>
      <w:r w:rsidR="00286EC2" w:rsidRPr="0081581D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центрів Європи 19-22 травня 2016р. (Великобританія, Німеччина, Іспанія, Кіпр);</w:t>
      </w:r>
    </w:p>
    <w:p w:rsidR="00D2734E" w:rsidRPr="0081581D" w:rsidRDefault="00D2734E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3. для представників провідних </w:t>
      </w:r>
      <w:r w:rsidR="00286EC2" w:rsidRPr="0081581D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935A71"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центрів Європи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5A71" w:rsidRPr="0081581D">
        <w:rPr>
          <w:rFonts w:ascii="Times New Roman" w:hAnsi="Times New Roman" w:cs="Times New Roman"/>
          <w:sz w:val="28"/>
          <w:szCs w:val="28"/>
          <w:lang w:val="uk-UA"/>
        </w:rPr>
        <w:t>Німеччина, Польща, Швейцарія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A71"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 21-24 червня 2016р. </w:t>
      </w:r>
    </w:p>
    <w:p w:rsidR="0081581D" w:rsidRDefault="0081581D" w:rsidP="0081581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4. для представників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 xml:space="preserve">країн Скандинавії та Балтійського півострова </w:t>
      </w:r>
      <w:r>
        <w:rPr>
          <w:rFonts w:ascii="Times New Roman" w:hAnsi="Times New Roman" w:cs="Times New Roman"/>
          <w:sz w:val="28"/>
          <w:szCs w:val="28"/>
          <w:lang w:val="uk-UA"/>
        </w:rPr>
        <w:t>2-5 вересня 2016;</w:t>
      </w:r>
    </w:p>
    <w:p w:rsidR="0081581D" w:rsidRPr="0081581D" w:rsidRDefault="0081581D" w:rsidP="0081581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Азербайджану, Казахстану та Туреччини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81D">
        <w:rPr>
          <w:rFonts w:ascii="Times New Roman" w:hAnsi="Times New Roman" w:cs="Times New Roman"/>
          <w:sz w:val="28"/>
          <w:szCs w:val="28"/>
          <w:lang w:val="uk-UA"/>
        </w:rPr>
        <w:t>26-29 вересня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1434A8" w:rsidRPr="00352552" w:rsidRDefault="00352552" w:rsidP="0035255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52">
        <w:rPr>
          <w:rFonts w:ascii="Times New Roman" w:hAnsi="Times New Roman" w:cs="Times New Roman"/>
          <w:sz w:val="28"/>
          <w:szCs w:val="28"/>
          <w:lang w:val="uk-UA"/>
        </w:rPr>
        <w:t xml:space="preserve">Готуються документи </w:t>
      </w:r>
      <w:r w:rsidR="002C5AFD" w:rsidRPr="00352552">
        <w:rPr>
          <w:rFonts w:ascii="Times New Roman" w:hAnsi="Times New Roman" w:cs="Times New Roman"/>
          <w:sz w:val="28"/>
          <w:szCs w:val="28"/>
          <w:lang w:val="uk-UA"/>
        </w:rPr>
        <w:t>для оголошення електронної закупівлі</w:t>
      </w:r>
      <w:r w:rsidR="002C5AFD" w:rsidRPr="00352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52552">
        <w:rPr>
          <w:rFonts w:ascii="Times New Roman" w:hAnsi="Times New Roman" w:cs="Times New Roman"/>
          <w:sz w:val="28"/>
          <w:szCs w:val="28"/>
          <w:lang w:val="uk-UA"/>
        </w:rPr>
        <w:t>ще одного р</w:t>
      </w:r>
      <w:r w:rsidR="001434A8" w:rsidRPr="00352552">
        <w:rPr>
          <w:rFonts w:ascii="Times New Roman" w:hAnsi="Times New Roman" w:cs="Times New Roman"/>
          <w:sz w:val="28"/>
          <w:szCs w:val="28"/>
          <w:lang w:val="uk-UA"/>
        </w:rPr>
        <w:t>екламно-інформаційн</w:t>
      </w:r>
      <w:r w:rsidRPr="003525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434A8" w:rsidRPr="00352552">
        <w:rPr>
          <w:rFonts w:ascii="Times New Roman" w:hAnsi="Times New Roman" w:cs="Times New Roman"/>
          <w:sz w:val="28"/>
          <w:szCs w:val="28"/>
          <w:lang w:val="uk-UA"/>
        </w:rPr>
        <w:t xml:space="preserve"> тур</w:t>
      </w:r>
      <w:r w:rsidRPr="003525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34A8" w:rsidRPr="00352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38A" w:rsidRPr="009B1ADF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КП "КМ ТІЦ" проведено електронні закупівлі по виготовленню 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трьох 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3-д конструкцій логотипу міста Києва. Підписано договір  01.07.2016. 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Роботи виконані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Визначено можливе місце встановлення 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ще однієї 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3-д конструкції (</w:t>
      </w:r>
      <w:r w:rsidR="009B1AD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Центральному залізничному вокзалі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02538A" w:rsidRPr="009B1ADF" w:rsidRDefault="0002538A" w:rsidP="00352552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КП "КМ ТІЦ" </w:t>
      </w:r>
      <w:r w:rsidR="00286EC2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закупівл</w:t>
      </w:r>
      <w:r w:rsidR="00352552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286EC2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 з розробки та виготовлення рекламно-інформаційної поліграфічної та сувенірної продукції. </w:t>
      </w:r>
      <w:r w:rsidR="00352552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Підписано договори та поставлено вказану продукцію.</w:t>
      </w:r>
    </w:p>
    <w:p w:rsidR="00A169CF" w:rsidRPr="009B1ADF" w:rsidRDefault="0002538A" w:rsidP="00A169CF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90118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169C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взято участь у таких міжнародних виставках:</w:t>
      </w:r>
    </w:p>
    <w:p w:rsidR="00A169CF" w:rsidRPr="009B1ADF" w:rsidRDefault="00A169CF" w:rsidP="00A169CF">
      <w:pPr>
        <w:spacing w:after="0" w:line="288" w:lineRule="auto"/>
        <w:ind w:firstLine="18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ITB 2016 (м. Берлін, ФРН);</w:t>
      </w:r>
    </w:p>
    <w:p w:rsidR="00A169CF" w:rsidRPr="009B1ADF" w:rsidRDefault="00A169CF" w:rsidP="00A169CF">
      <w:pPr>
        <w:spacing w:after="0" w:line="288" w:lineRule="auto"/>
        <w:ind w:firstLine="18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UITT 2016 «Україна – подорожі та туризм» (м. Київ, Україна);</w:t>
      </w:r>
    </w:p>
    <w:p w:rsidR="00352552" w:rsidRPr="009B1ADF" w:rsidRDefault="00A169CF" w:rsidP="00A169CF">
      <w:pPr>
        <w:spacing w:after="0" w:line="288" w:lineRule="auto"/>
        <w:ind w:firstLine="18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COTTM </w:t>
      </w:r>
      <w:r w:rsidR="00A52BC2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2016 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(м. Пекін, КНР)</w:t>
      </w:r>
      <w:r w:rsidR="00352552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52BC2" w:rsidRPr="009B1ADF" w:rsidRDefault="00A52BC2" w:rsidP="00A169CF">
      <w:pPr>
        <w:spacing w:after="0" w:line="288" w:lineRule="auto"/>
        <w:ind w:firstLine="18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«Турбизнес-2016» (м. Мінськ, Білорусія);</w:t>
      </w:r>
    </w:p>
    <w:p w:rsidR="00A52BC2" w:rsidRPr="009B1ADF" w:rsidRDefault="00A52BC2" w:rsidP="00A169CF">
      <w:pPr>
        <w:spacing w:after="0" w:line="288" w:lineRule="auto"/>
        <w:ind w:firstLine="18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bidi="he-IL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UITM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2016 (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 w:bidi="he-IL"/>
        </w:rPr>
        <w:t>м. Київ, Україна);</w:t>
      </w:r>
    </w:p>
    <w:p w:rsidR="00A52BC2" w:rsidRPr="009B1ADF" w:rsidRDefault="00A169CF" w:rsidP="00673193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A52BC2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Закуплено послуги з організації та участі у 5 міжнародних виставкових заходах. та організації 2 семінарів. </w:t>
      </w:r>
    </w:p>
    <w:p w:rsidR="00990118" w:rsidRPr="009B1ADF" w:rsidRDefault="00A52BC2" w:rsidP="00A52BC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КП «ТІЦ» підготовлено документи на державну закупівлю послуг на участь у 2-х додаткових міжнародних виставкових заходах;  </w:t>
      </w:r>
    </w:p>
    <w:p w:rsidR="0002538A" w:rsidRPr="009B1ADF" w:rsidRDefault="0002538A" w:rsidP="0002538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організовано проведення Днів Європи в місті Києві на Михайлівській площі 21-22 травня  2016 року. Захід відвідали понад  300 тис. гостей;</w:t>
      </w:r>
    </w:p>
    <w:p w:rsidR="0002538A" w:rsidRDefault="0002538A" w:rsidP="0002538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з нагоди святкування Днів Києва 27.05.-10.06.2016 у міжнародному аеропорту «Київ» (на території терміналу «А») проведено виставку картин «KYIV. </w:t>
      </w:r>
      <w:proofErr w:type="spellStart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Must</w:t>
      </w:r>
      <w:proofErr w:type="spellEnd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see</w:t>
      </w:r>
      <w:proofErr w:type="spellEnd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де було представлено роботи знаменитих українських художників (Галина </w:t>
      </w:r>
      <w:proofErr w:type="spellStart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Попінова</w:t>
      </w:r>
      <w:proofErr w:type="spellEnd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Олександр </w:t>
      </w:r>
      <w:proofErr w:type="spellStart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Ольхов</w:t>
      </w:r>
      <w:proofErr w:type="spellEnd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Іван Пилипенко, Петро </w:t>
      </w:r>
      <w:proofErr w:type="spellStart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Зикунов</w:t>
      </w:r>
      <w:proofErr w:type="spellEnd"/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BF00DF" w:rsidRPr="009B1ADF" w:rsidRDefault="00BF00DF" w:rsidP="0002538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- 27.09.2016, з нагоди святкування Дня туризму, відбувся урочистий прийом та  святкове вручення нагород «Туризм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Awards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446E7F" w:rsidRPr="009B1ADF" w:rsidRDefault="00ED5D16" w:rsidP="00301C7F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301C7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закуплено послуги </w:t>
      </w:r>
      <w:r w:rsidR="0038093B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46E7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виготовлення </w:t>
      </w:r>
      <w:proofErr w:type="spellStart"/>
      <w:r w:rsidR="00446E7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промо</w:t>
      </w:r>
      <w:proofErr w:type="spellEnd"/>
      <w:r w:rsidR="00446E7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-роликів про м. Київ, в тому числі циклу інформаційних сюжетів та документальних фільмів. </w:t>
      </w:r>
      <w:r w:rsidR="00301C7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Договір підписано. </w:t>
      </w:r>
    </w:p>
    <w:p w:rsidR="00990118" w:rsidRPr="009B1ADF" w:rsidRDefault="00446E7F" w:rsidP="005A79A7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5A79A7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38093B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голошен</w:t>
      </w:r>
      <w:r w:rsidR="005A79A7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38093B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</w:t>
      </w:r>
      <w:r w:rsidR="005A79A7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8093B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</w:t>
      </w:r>
      <w:r w:rsidR="005A79A7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ED5D16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151B3F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організації реклами туристичних можливостей м. Києва в засобах масової інформації та на зовнішніх носіях</w:t>
      </w:r>
      <w:r w:rsidR="005A79A7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триває прийом пропозицій</w:t>
      </w:r>
      <w:r w:rsidR="0038093B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5A79A7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15D1A" w:rsidRDefault="00715D1A" w:rsidP="0061344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- </w:t>
      </w:r>
      <w:r w:rsidR="0061344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підготовка документів на закупівлю послуг з організації перехресної промоції м. Києва із туристичними </w:t>
      </w:r>
      <w:proofErr w:type="spellStart"/>
      <w:r w:rsidR="0061344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дестинаціямі</w:t>
      </w:r>
      <w:proofErr w:type="spellEnd"/>
      <w:r w:rsidR="0061344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Україні та за кордоном;</w:t>
      </w:r>
    </w:p>
    <w:p w:rsidR="00BF00DF" w:rsidRPr="009B1ADF" w:rsidRDefault="00BF00DF" w:rsidP="0061344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 рамках заходу «</w:t>
      </w:r>
      <w:r w:rsidRPr="00BF0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та проведення семінарів, нарад та науково-практичних конференцій з питань розвитку туризму в місті Києві із залученням вітчизняних та іноземних фахівців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з</w:t>
      </w:r>
      <w:r w:rsidRPr="00BF0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дійснено закупівлю послуг на проведення 2 семінарів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F0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BF0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акож готуються документи для закуп</w:t>
      </w:r>
      <w:r w:rsidR="00F163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BF00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 послуг з проведення 2-х конференцій </w:t>
      </w:r>
    </w:p>
    <w:p w:rsidR="00715D1A" w:rsidRPr="009B1ADF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спільно  з КП «</w:t>
      </w:r>
      <w:r w:rsidR="00FB77F8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КМ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7F8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ТІЦ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здійснювалася підготовка матеріалів для наповнення київського туристичного порталу visitkyiv.travel </w:t>
      </w:r>
      <w:r w:rsidR="00281EF1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трьома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мовами (українська, російська, англійська);</w:t>
      </w:r>
    </w:p>
    <w:p w:rsidR="00715D1A" w:rsidRPr="009B1ADF" w:rsidRDefault="00715D1A" w:rsidP="00715D1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проведено робочу нараду з</w:t>
      </w:r>
      <w:r w:rsidR="00E43420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3420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структурними 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підрозділами </w:t>
      </w:r>
      <w:r w:rsidR="00E43420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туризму </w:t>
      </w: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районних в місті Києві державних адміністрації щодо об’єднань зусиль  у промоції туристичних можливостей та потенціалу столиці України – Києва; </w:t>
      </w:r>
    </w:p>
    <w:p w:rsidR="007C05F9" w:rsidRPr="009B1ADF" w:rsidRDefault="00715D1A" w:rsidP="0002538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проведено зустріч зі структурними підрозділами виконавчого органу Київської міської ради (Київської міської державної адміністрації) щодо створення Єдиного календаря подій м. Києва.</w:t>
      </w:r>
      <w:r w:rsidR="00281EF1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результатами </w:t>
      </w:r>
      <w:r w:rsidR="00E43420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чого пр</w:t>
      </w:r>
      <w:r w:rsidR="00281EF1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опозиції від структурних підрозділів</w:t>
      </w:r>
      <w:r w:rsidR="00E43420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узагальнено </w:t>
      </w:r>
      <w:r w:rsidR="003D2D6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підготовлено проект Єдиного кале</w:t>
      </w:r>
      <w:r w:rsidR="00FB77F8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ндаря подій;</w:t>
      </w:r>
      <w:r w:rsidR="003D2D6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1EF1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:rsidR="00424194" w:rsidRPr="009B1ADF" w:rsidRDefault="00424194" w:rsidP="002352D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352D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надано пропозиції </w:t>
      </w:r>
      <w:r w:rsidR="0038093B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керівництву Київської міської державної адміністрації </w:t>
      </w:r>
      <w:r w:rsidR="002352D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додаткового фінансування туристичної сфери м. Києва відповідно до Міської цільової програми розвитку туризму в місті Києві на 2016-2018 роки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рішенням Київської міської ради від 11.02.2016 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№ 91/91</w:t>
      </w:r>
      <w:r w:rsidR="002352D9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2016 рік</w:t>
      </w:r>
      <w:r w:rsidR="0002538A" w:rsidRPr="009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618B2" w:rsidRPr="009B1ADF" w:rsidRDefault="00D618B2" w:rsidP="00E02CEF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618B2" w:rsidRPr="009B1ADF" w:rsidRDefault="00D618B2" w:rsidP="00E02CEF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618B2" w:rsidRPr="00542271" w:rsidRDefault="00D618B2" w:rsidP="00E02CEF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618B2" w:rsidRPr="00542271" w:rsidRDefault="00D618B2" w:rsidP="00E02CEF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86DF1" w:rsidRPr="00542271" w:rsidRDefault="00B86DF1">
      <w:pPr>
        <w:rPr>
          <w:color w:val="FF0000"/>
          <w:sz w:val="28"/>
          <w:szCs w:val="28"/>
          <w:lang w:val="uk-UA"/>
        </w:rPr>
      </w:pPr>
    </w:p>
    <w:sectPr w:rsidR="00B86DF1" w:rsidRPr="005422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D5"/>
    <w:rsid w:val="0002538A"/>
    <w:rsid w:val="000A33A1"/>
    <w:rsid w:val="000B1443"/>
    <w:rsid w:val="001434A8"/>
    <w:rsid w:val="00151B3F"/>
    <w:rsid w:val="001942F3"/>
    <w:rsid w:val="001F58DE"/>
    <w:rsid w:val="002352D9"/>
    <w:rsid w:val="00281EF1"/>
    <w:rsid w:val="00286EC2"/>
    <w:rsid w:val="002C5AFD"/>
    <w:rsid w:val="00301C7F"/>
    <w:rsid w:val="00352552"/>
    <w:rsid w:val="003640AC"/>
    <w:rsid w:val="0038093B"/>
    <w:rsid w:val="003D2D69"/>
    <w:rsid w:val="004072EB"/>
    <w:rsid w:val="00424194"/>
    <w:rsid w:val="00446E7F"/>
    <w:rsid w:val="00485642"/>
    <w:rsid w:val="004C4FA6"/>
    <w:rsid w:val="004E27FA"/>
    <w:rsid w:val="00537EAA"/>
    <w:rsid w:val="00542271"/>
    <w:rsid w:val="005A79A7"/>
    <w:rsid w:val="00613449"/>
    <w:rsid w:val="00673193"/>
    <w:rsid w:val="00712EFC"/>
    <w:rsid w:val="00715D1A"/>
    <w:rsid w:val="007C05F9"/>
    <w:rsid w:val="007F5D21"/>
    <w:rsid w:val="0081581D"/>
    <w:rsid w:val="00877B7B"/>
    <w:rsid w:val="008861C1"/>
    <w:rsid w:val="0090629C"/>
    <w:rsid w:val="00935A71"/>
    <w:rsid w:val="009411FC"/>
    <w:rsid w:val="009624A2"/>
    <w:rsid w:val="00990118"/>
    <w:rsid w:val="009B1ADF"/>
    <w:rsid w:val="00A169CF"/>
    <w:rsid w:val="00A52BC2"/>
    <w:rsid w:val="00AA301D"/>
    <w:rsid w:val="00AB5320"/>
    <w:rsid w:val="00B86DF1"/>
    <w:rsid w:val="00BA2B9E"/>
    <w:rsid w:val="00BC3694"/>
    <w:rsid w:val="00BF00DF"/>
    <w:rsid w:val="00C15ABE"/>
    <w:rsid w:val="00CB6175"/>
    <w:rsid w:val="00CD2D13"/>
    <w:rsid w:val="00D06B99"/>
    <w:rsid w:val="00D2734E"/>
    <w:rsid w:val="00D618B2"/>
    <w:rsid w:val="00D91416"/>
    <w:rsid w:val="00DF2B5C"/>
    <w:rsid w:val="00E014CE"/>
    <w:rsid w:val="00E02CEF"/>
    <w:rsid w:val="00E43420"/>
    <w:rsid w:val="00E76BD5"/>
    <w:rsid w:val="00E8477C"/>
    <w:rsid w:val="00ED5D16"/>
    <w:rsid w:val="00EE3BB4"/>
    <w:rsid w:val="00EF5A71"/>
    <w:rsid w:val="00F163BA"/>
    <w:rsid w:val="00F60EFD"/>
    <w:rsid w:val="00F62CC6"/>
    <w:rsid w:val="00FB20C5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598F-A8AA-455E-B886-60A31E88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Котельникова-Шпак</dc:creator>
  <cp:lastModifiedBy>Світлана А. Котельникова-Шпак</cp:lastModifiedBy>
  <cp:revision>4</cp:revision>
  <cp:lastPrinted>2016-07-08T06:56:00Z</cp:lastPrinted>
  <dcterms:created xsi:type="dcterms:W3CDTF">2016-10-12T12:05:00Z</dcterms:created>
  <dcterms:modified xsi:type="dcterms:W3CDTF">2016-10-17T12:35:00Z</dcterms:modified>
</cp:coreProperties>
</file>